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default" w:ascii="黑体" w:hAnsi="黑体" w:eastAsia="黑体" w:cs="黑体"/>
          <w:sz w:val="32"/>
          <w:szCs w:val="32"/>
          <w:lang w:val="en-US" w:eastAsia="zh-CN"/>
        </w:rPr>
      </w:pPr>
      <w:bookmarkStart w:id="0" w:name="_GoBack"/>
      <w:bookmarkEnd w:id="0"/>
      <w:r>
        <w:rPr>
          <w:rFonts w:hint="eastAsia" w:ascii="黑体" w:hAnsi="黑体" w:eastAsia="黑体" w:cs="黑体"/>
          <w:sz w:val="32"/>
          <w:szCs w:val="32"/>
          <w:lang w:val="en-US" w:eastAsia="zh-CN"/>
        </w:rPr>
        <w:t>附件3：</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不能确定为村（社区）“两委”班子成员候选人的15种情形：</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对党中央决策部署阳奉阴违，搞两面派、伪忠诚，政治上的“两面人”；</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受到撤销党内职务及以上处分尚在影响期内或受到留党察看处分期满恢复党员权利未满2年的；</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受到刑事处罚、存在“村霸”和涉黑涉恶等问题的；</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以家族势力、宗教势力干扰村级事务、影响基层治理，在群众中影响较坏的；</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被立案调查审查或依法留置、逮捕的；</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实施、参与非法宗教或信奉邪教的；</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近3年内在民主评议党员中被评为不合格党员的；</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当前被人民法院确定为失信被执行人的；</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因嫖娼、吸毒、扰乱公共秩序等受到行政拘留未满5年的；</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搞迷信活动、参与赌博造成恶劣影响，并被公安机关查处未满5年的；</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参与到非接待场所上访干扰正常生产和工作秩序的活动，被有关部门查处未满5年的；</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换届期间拉帮结派干扰选举，以谣言、非法大（小）字报、暴力威胁等不正当行为干预选民正常表达选举意志，被有关部门查证的；</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长期外出或经常不在本村居住不能正常履行职责的；</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pacing w:val="-6"/>
          <w:sz w:val="32"/>
          <w:szCs w:val="32"/>
          <w:lang w:val="en-US" w:eastAsia="zh-CN"/>
        </w:rPr>
      </w:pPr>
      <w:r>
        <w:rPr>
          <w:rFonts w:hint="eastAsia" w:ascii="仿宋_GB2312" w:hAnsi="仿宋_GB2312" w:eastAsia="仿宋_GB2312" w:cs="仿宋_GB2312"/>
          <w:spacing w:val="-6"/>
          <w:sz w:val="32"/>
          <w:szCs w:val="32"/>
          <w:lang w:val="en-US" w:eastAsia="zh-CN"/>
        </w:rPr>
        <w:t>丧失行为能力或因身体健康等原因不能正常履行职责的；</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选举前不按规定签订遵守换届纪律承诺书的。</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BB052F"/>
    <w:multiLevelType w:val="singleLevel"/>
    <w:tmpl w:val="86BB052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440D43"/>
    <w:rsid w:val="03440D43"/>
    <w:rsid w:val="3E1029F5"/>
    <w:rsid w:val="455873EB"/>
    <w:rsid w:val="6D36413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2021-07-05T13:17:00Z</dcterms:created>
  <dc:creator>旗舰号111</dc:creator>
  <cp:lastModifiedBy>旗舰号111</cp:lastModifiedBy>
  <dcterms:modified xsi:type="dcterms:W3CDTF">2021-09-09T00:29:33Z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86AE001ADAED43A3B6538E13D0BF4CB3</vt:lpwstr>
  </property>
</Properties>
</file>